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关于201</w:t>
      </w:r>
      <w:r>
        <w:rPr>
          <w:rFonts w:hint="eastAsia" w:asciiTheme="majorEastAsia" w:hAnsiTheme="majorEastAsia" w:eastAsiaTheme="majorEastAsia"/>
          <w:b/>
          <w:bCs/>
          <w:sz w:val="32"/>
          <w:szCs w:val="32"/>
          <w:lang w:val="en-US" w:eastAsia="zh-CN"/>
        </w:rPr>
        <w:t>9</w:t>
      </w:r>
      <w:r>
        <w:rPr>
          <w:rFonts w:hint="eastAsia" w:asciiTheme="majorEastAsia" w:hAnsiTheme="majorEastAsia" w:eastAsiaTheme="majorEastAsia"/>
          <w:b/>
          <w:bCs/>
          <w:sz w:val="32"/>
          <w:szCs w:val="32"/>
        </w:rPr>
        <w:t>年</w:t>
      </w:r>
      <w:r>
        <w:rPr>
          <w:rFonts w:hint="eastAsia" w:asciiTheme="majorEastAsia" w:hAnsiTheme="majorEastAsia" w:eastAsiaTheme="majorEastAsia"/>
          <w:b/>
          <w:bCs/>
          <w:sz w:val="32"/>
          <w:szCs w:val="32"/>
          <w:lang w:eastAsia="zh-CN"/>
        </w:rPr>
        <w:t>暑假</w:t>
      </w:r>
      <w:r>
        <w:rPr>
          <w:rFonts w:hint="eastAsia" w:asciiTheme="majorEastAsia" w:hAnsiTheme="majorEastAsia" w:eastAsiaTheme="majorEastAsia"/>
          <w:b/>
          <w:bCs/>
          <w:sz w:val="32"/>
          <w:szCs w:val="32"/>
        </w:rPr>
        <w:t>赴香港科技大学短期访学与交流项目</w:t>
      </w:r>
    </w:p>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报名通知</w:t>
      </w:r>
    </w:p>
    <w:p>
      <w:pPr>
        <w:spacing w:line="400" w:lineRule="exact"/>
        <w:ind w:firstLine="420" w:firstLineChars="200"/>
        <w:jc w:val="left"/>
        <w:rPr>
          <w:rFonts w:asciiTheme="majorEastAsia" w:hAnsiTheme="majorEastAsia" w:eastAsiaTheme="majorEastAsia"/>
          <w:szCs w:val="21"/>
        </w:rPr>
      </w:pPr>
    </w:p>
    <w:p>
      <w:pPr>
        <w:spacing w:line="400" w:lineRule="exact"/>
        <w:ind w:firstLine="480" w:firstLineChars="200"/>
        <w:jc w:val="left"/>
        <w:rPr>
          <w:rFonts w:hint="eastAsia" w:asciiTheme="majorEastAsia" w:hAnsiTheme="majorEastAsia" w:eastAsiaTheme="majorEastAsia"/>
          <w:sz w:val="24"/>
          <w:szCs w:val="24"/>
        </w:rPr>
      </w:pPr>
      <w:r>
        <w:rPr>
          <w:rFonts w:hint="eastAsia" w:ascii="宋体" w:hAnsi="宋体" w:eastAsia="宋体" w:cs="宋体"/>
          <w:sz w:val="24"/>
          <w:szCs w:val="24"/>
          <w:lang w:val="en-US" w:eastAsia="zh-CN"/>
        </w:rPr>
        <w:t>访学是让学生进入世界名校体验充满挑战的学习和生活，一方面可以提高学生的学习能力、跨文化沟通能力、解决问题的能力以及团队协作能力和领导力。同时，访学作为短期留学/微留学的一种形式，可以让更多学生低门槛进入名校课程学习，奠定未来是否适应留学生活的机会。另一方面，访学的经历已经成为决定出国读研学生在申请国外大学的优选条件之一。</w:t>
      </w:r>
    </w:p>
    <w:p>
      <w:pPr>
        <w:spacing w:line="400" w:lineRule="exact"/>
        <w:ind w:firstLine="480" w:firstLineChars="200"/>
        <w:jc w:val="left"/>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rPr>
        <w:t>2019年暑假，我校将继续选派优秀在校本科生，研究生赴香港科技大学参加为期14天的短期访学与交流项目</w:t>
      </w:r>
      <w:r>
        <w:rPr>
          <w:rFonts w:hint="eastAsia" w:ascii="宋体" w:hAnsi="宋体" w:eastAsia="宋体" w:cs="宋体"/>
          <w:b w:val="0"/>
          <w:i w:val="0"/>
          <w:caps w:val="0"/>
          <w:color w:val="000000"/>
          <w:spacing w:val="0"/>
          <w:sz w:val="24"/>
          <w:szCs w:val="24"/>
          <w:shd w:val="clear" w:fill="FFFFFF"/>
          <w:lang w:eastAsia="zh-CN"/>
        </w:rPr>
        <w:t>，现将项目内容通知如下：</w:t>
      </w:r>
    </w:p>
    <w:p>
      <w:pPr>
        <w:spacing w:line="400" w:lineRule="exact"/>
        <w:ind w:firstLine="482" w:firstLineChars="200"/>
        <w:jc w:val="left"/>
        <w:rPr>
          <w:rFonts w:hint="eastAsia" w:ascii="宋体" w:hAnsi="宋体" w:eastAsia="宋体" w:cs="宋体"/>
          <w:b/>
          <w:bCs/>
          <w:i w:val="0"/>
          <w:caps w:val="0"/>
          <w:color w:val="000000"/>
          <w:spacing w:val="0"/>
          <w:sz w:val="24"/>
          <w:szCs w:val="24"/>
          <w:highlight w:val="yellow"/>
          <w:shd w:val="clear" w:fill="FFFFFF"/>
          <w:lang w:val="en-US" w:eastAsia="zh-CN"/>
        </w:rPr>
      </w:pPr>
      <w:r>
        <w:rPr>
          <w:rFonts w:hint="eastAsia" w:ascii="宋体" w:hAnsi="宋体" w:eastAsia="宋体" w:cs="宋体"/>
          <w:b/>
          <w:bCs/>
          <w:i w:val="0"/>
          <w:caps w:val="0"/>
          <w:color w:val="000000"/>
          <w:spacing w:val="0"/>
          <w:sz w:val="24"/>
          <w:szCs w:val="24"/>
          <w:highlight w:val="yellow"/>
          <w:shd w:val="clear" w:fill="FFFFFF"/>
          <w:lang w:val="en-US" w:eastAsia="zh-CN"/>
        </w:rPr>
        <w:t>项目宣讲会：</w:t>
      </w:r>
    </w:p>
    <w:p>
      <w:pPr>
        <w:spacing w:line="400" w:lineRule="exact"/>
        <w:ind w:firstLine="482" w:firstLineChars="200"/>
        <w:jc w:val="left"/>
        <w:rPr>
          <w:rFonts w:hint="eastAsia" w:ascii="宋体" w:hAnsi="宋体" w:eastAsia="宋体" w:cs="宋体"/>
          <w:b/>
          <w:bCs/>
          <w:i w:val="0"/>
          <w:caps w:val="0"/>
          <w:color w:val="000000"/>
          <w:spacing w:val="0"/>
          <w:sz w:val="24"/>
          <w:szCs w:val="24"/>
          <w:highlight w:val="yellow"/>
          <w:shd w:val="clear" w:fill="FFFFFF"/>
          <w:lang w:val="en-US" w:eastAsia="zh-CN"/>
        </w:rPr>
      </w:pPr>
      <w:r>
        <w:rPr>
          <w:rFonts w:hint="eastAsia" w:ascii="宋体" w:hAnsi="宋体" w:eastAsia="宋体" w:cs="宋体"/>
          <w:b/>
          <w:bCs/>
          <w:i w:val="0"/>
          <w:caps w:val="0"/>
          <w:color w:val="000000"/>
          <w:spacing w:val="0"/>
          <w:sz w:val="24"/>
          <w:szCs w:val="24"/>
          <w:highlight w:val="yellow"/>
          <w:shd w:val="clear" w:fill="FFFFFF"/>
          <w:lang w:val="en-US" w:eastAsia="zh-CN"/>
        </w:rPr>
        <w:t>时间：2019年5月21日（周二）19:00</w:t>
      </w:r>
    </w:p>
    <w:p>
      <w:pPr>
        <w:spacing w:line="400" w:lineRule="exact"/>
        <w:ind w:firstLine="482" w:firstLineChars="200"/>
        <w:jc w:val="left"/>
        <w:rPr>
          <w:rFonts w:hint="eastAsia" w:ascii="宋体" w:hAnsi="宋体" w:eastAsia="宋体" w:cs="宋体"/>
          <w:b/>
          <w:bCs/>
          <w:i w:val="0"/>
          <w:caps w:val="0"/>
          <w:color w:val="000000"/>
          <w:spacing w:val="0"/>
          <w:sz w:val="24"/>
          <w:szCs w:val="24"/>
          <w:highlight w:val="yellow"/>
          <w:shd w:val="clear" w:fill="FFFFFF"/>
          <w:lang w:val="en-US" w:eastAsia="zh-CN"/>
        </w:rPr>
      </w:pPr>
      <w:r>
        <w:rPr>
          <w:rFonts w:hint="eastAsia" w:ascii="宋体" w:hAnsi="宋体" w:eastAsia="宋体" w:cs="宋体"/>
          <w:b/>
          <w:bCs/>
          <w:i w:val="0"/>
          <w:caps w:val="0"/>
          <w:color w:val="000000"/>
          <w:spacing w:val="0"/>
          <w:sz w:val="24"/>
          <w:szCs w:val="24"/>
          <w:highlight w:val="yellow"/>
          <w:shd w:val="clear" w:fill="FFFFFF"/>
          <w:lang w:val="en-US" w:eastAsia="zh-CN"/>
        </w:rPr>
        <w:t>地点：生物学院H0308教室</w:t>
      </w:r>
    </w:p>
    <w:p>
      <w:pPr>
        <w:spacing w:line="400" w:lineRule="exact"/>
        <w:ind w:firstLine="482" w:firstLineChars="200"/>
        <w:jc w:val="left"/>
        <w:rPr>
          <w:rFonts w:hint="default" w:ascii="宋体" w:hAnsi="宋体" w:eastAsia="宋体" w:cs="宋体"/>
          <w:b/>
          <w:bCs/>
          <w:i w:val="0"/>
          <w:caps w:val="0"/>
          <w:color w:val="000000"/>
          <w:spacing w:val="0"/>
          <w:sz w:val="24"/>
          <w:szCs w:val="24"/>
          <w:highlight w:val="yellow"/>
          <w:shd w:val="clear" w:fill="FFFFFF"/>
          <w:lang w:val="en-US" w:eastAsia="zh-CN"/>
        </w:rPr>
      </w:pPr>
      <w:r>
        <w:rPr>
          <w:rFonts w:hint="eastAsia" w:ascii="宋体" w:hAnsi="宋体" w:eastAsia="宋体" w:cs="宋体"/>
          <w:b/>
          <w:bCs/>
          <w:i w:val="0"/>
          <w:caps w:val="0"/>
          <w:color w:val="000000"/>
          <w:spacing w:val="0"/>
          <w:sz w:val="24"/>
          <w:szCs w:val="24"/>
          <w:highlight w:val="yellow"/>
          <w:shd w:val="clear" w:fill="FFFFFF"/>
          <w:lang w:val="en-US" w:eastAsia="zh-CN"/>
        </w:rPr>
        <w:t>主讲人：王老师（项目负责人）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asciiTheme="majorEastAsia" w:hAnsiTheme="majorEastAsia" w:eastAsiaTheme="majorEastAsia"/>
          <w:b/>
          <w:sz w:val="24"/>
          <w:szCs w:val="24"/>
        </w:rPr>
      </w:pPr>
      <w:r>
        <w:rPr>
          <w:rFonts w:hint="eastAsia" w:asciiTheme="majorEastAsia" w:hAnsiTheme="majorEastAsia" w:eastAsiaTheme="majorEastAsia"/>
          <w:b/>
          <w:sz w:val="24"/>
          <w:szCs w:val="24"/>
          <w:lang w:eastAsia="zh-CN"/>
        </w:rPr>
        <w:t>一、</w:t>
      </w:r>
      <w:r>
        <w:rPr>
          <w:rFonts w:hint="eastAsia" w:asciiTheme="majorEastAsia" w:hAnsiTheme="majorEastAsia" w:eastAsiaTheme="majorEastAsia"/>
          <w:b/>
          <w:sz w:val="24"/>
          <w:szCs w:val="24"/>
        </w:rPr>
        <w:t>项目</w:t>
      </w:r>
      <w:r>
        <w:rPr>
          <w:rFonts w:hint="eastAsia" w:asciiTheme="majorEastAsia" w:hAnsiTheme="majorEastAsia" w:eastAsiaTheme="majorEastAsia"/>
          <w:b/>
          <w:sz w:val="24"/>
          <w:szCs w:val="24"/>
          <w:lang w:eastAsia="zh-CN"/>
        </w:rPr>
        <w:t>概述</w:t>
      </w:r>
    </w:p>
    <w:p>
      <w:pPr>
        <w:spacing w:line="400" w:lineRule="exact"/>
        <w:ind w:firstLine="480" w:firstLineChars="200"/>
        <w:jc w:val="left"/>
        <w:rPr>
          <w:rFonts w:hint="eastAsia" w:asciiTheme="majorEastAsia" w:hAnsiTheme="majorEastAsia" w:eastAsiaTheme="majorEastAsia"/>
          <w:sz w:val="24"/>
          <w:szCs w:val="24"/>
        </w:rPr>
      </w:pPr>
      <w:r>
        <w:rPr>
          <w:rFonts w:hint="eastAsia" w:ascii="宋体" w:hAnsi="宋体" w:eastAsia="宋体" w:cs="宋体"/>
          <w:sz w:val="24"/>
          <w:szCs w:val="24"/>
          <w:lang w:val="en-US" w:eastAsia="zh-CN"/>
        </w:rPr>
        <w:t>访学是让学生进入世界名校体验充满挑战的学习和生活，一方面可以提高学生的学习能力、跨文化沟通能力、解决问题的能力以及团队协作能力和领导力。同时，访学作为短期留学/微留学的一种形式，可以让更多学生低门槛进入名校课程学习，奠定未来是否适应留学生活的机会。另一方面，访学的经历已经成为决定出国读研学生在申请国外大学的优选条件之一。</w:t>
      </w:r>
    </w:p>
    <w:p>
      <w:pPr>
        <w:spacing w:line="400" w:lineRule="exact"/>
        <w:ind w:firstLine="480" w:firstLineChars="200"/>
        <w:jc w:val="left"/>
        <w:rPr>
          <w:rFonts w:hint="eastAsia" w:asciiTheme="majorEastAsia" w:hAnsiTheme="majorEastAsia" w:eastAsiaTheme="majorEastAsia"/>
          <w:sz w:val="28"/>
          <w:szCs w:val="28"/>
        </w:rPr>
      </w:pPr>
      <w:r>
        <w:rPr>
          <w:rFonts w:hint="eastAsia" w:asciiTheme="majorEastAsia" w:hAnsiTheme="majorEastAsia" w:eastAsiaTheme="majorEastAsia"/>
          <w:sz w:val="24"/>
          <w:szCs w:val="24"/>
        </w:rPr>
        <w:t>项目采用香港科技大学商科课程与500强金融名企实训课程相结合的多元化学习模式，让大学生体验名校课堂、提升专业能力、提高职业素养、积累工作经验、拓展人脉资源，助力简历加分，加持核心竞争力。</w:t>
      </w:r>
    </w:p>
    <w:p>
      <w:pPr>
        <w:spacing w:line="400" w:lineRule="exact"/>
        <w:ind w:firstLine="482" w:firstLineChars="200"/>
        <w:jc w:val="left"/>
        <w:rPr>
          <w:rFonts w:hint="eastAsia" w:asciiTheme="majorEastAsia" w:hAnsiTheme="majorEastAsia" w:eastAsiaTheme="majorEastAsia"/>
          <w:sz w:val="24"/>
          <w:szCs w:val="24"/>
          <w:lang w:val="en-US" w:eastAsia="zh-CN"/>
        </w:rPr>
      </w:pPr>
      <w:r>
        <w:rPr>
          <w:rFonts w:hint="eastAsia" w:asciiTheme="majorEastAsia" w:hAnsiTheme="majorEastAsia" w:eastAsiaTheme="majorEastAsia"/>
          <w:b/>
          <w:bCs/>
          <w:sz w:val="24"/>
          <w:szCs w:val="24"/>
          <w:lang w:val="en-US" w:eastAsia="zh-CN"/>
        </w:rPr>
        <w:t xml:space="preserve">| </w:t>
      </w:r>
      <w:r>
        <w:rPr>
          <w:rFonts w:hint="eastAsia" w:asciiTheme="majorEastAsia" w:hAnsiTheme="majorEastAsia" w:eastAsiaTheme="majorEastAsia"/>
          <w:sz w:val="24"/>
          <w:szCs w:val="24"/>
          <w:lang w:val="en-US" w:eastAsia="zh-CN"/>
        </w:rPr>
        <w:t>课程介绍</w:t>
      </w:r>
    </w:p>
    <w:p>
      <w:pPr>
        <w:spacing w:line="400" w:lineRule="exact"/>
        <w:ind w:firstLine="482"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b/>
          <w:bCs/>
          <w:color w:val="auto"/>
          <w:sz w:val="24"/>
          <w:szCs w:val="24"/>
        </w:rPr>
        <w:t>香港科技大学商科课程</w:t>
      </w:r>
      <w:r>
        <w:rPr>
          <w:rFonts w:hint="eastAsia" w:asciiTheme="majorEastAsia" w:hAnsiTheme="majorEastAsia" w:eastAsiaTheme="majorEastAsia"/>
          <w:sz w:val="24"/>
          <w:szCs w:val="24"/>
        </w:rPr>
        <w:t>包括：创新及领导力、人力资源管理、市场营销、项目管理、商业管理、时间管理和国际金融等。</w:t>
      </w:r>
    </w:p>
    <w:p>
      <w:pPr>
        <w:keepNext w:val="0"/>
        <w:keepLines w:val="0"/>
        <w:widowControl/>
        <w:suppressLineNumbers w:val="0"/>
        <w:jc w:val="center"/>
        <w:rPr>
          <w:rFonts w:hint="eastAsia" w:asciiTheme="majorEastAsia" w:hAnsiTheme="majorEastAsia" w:eastAsiaTheme="majorEastAsia"/>
          <w:sz w:val="24"/>
          <w:szCs w:val="24"/>
        </w:rPr>
      </w:pPr>
      <w:r>
        <w:rPr>
          <w:rFonts w:ascii="宋体" w:hAnsi="宋体" w:eastAsia="宋体" w:cs="宋体"/>
          <w:kern w:val="0"/>
          <w:sz w:val="24"/>
          <w:szCs w:val="24"/>
          <w:lang w:val="en-US" w:eastAsia="zh-CN" w:bidi="ar"/>
        </w:rPr>
        <w:drawing>
          <wp:inline distT="0" distB="0" distL="114300" distR="114300">
            <wp:extent cx="2046605" cy="1151890"/>
            <wp:effectExtent l="0" t="0" r="10795" b="1016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6"/>
                    <a:stretch>
                      <a:fillRect/>
                    </a:stretch>
                  </pic:blipFill>
                  <pic:spPr>
                    <a:xfrm>
                      <a:off x="0" y="0"/>
                      <a:ext cx="2046605" cy="115189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044700" cy="1148080"/>
            <wp:effectExtent l="0" t="0" r="12700" b="1397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7"/>
                    <a:stretch>
                      <a:fillRect/>
                    </a:stretch>
                  </pic:blipFill>
                  <pic:spPr>
                    <a:xfrm>
                      <a:off x="0" y="0"/>
                      <a:ext cx="2044700" cy="1148080"/>
                    </a:xfrm>
                    <a:prstGeom prst="rect">
                      <a:avLst/>
                    </a:prstGeom>
                    <a:noFill/>
                    <a:ln w="9525">
                      <a:noFill/>
                    </a:ln>
                  </pic:spPr>
                </pic:pic>
              </a:graphicData>
            </a:graphic>
          </wp:inline>
        </w:drawing>
      </w:r>
    </w:p>
    <w:p>
      <w:pPr>
        <w:spacing w:line="400" w:lineRule="exact"/>
        <w:ind w:firstLine="482"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b/>
          <w:bCs/>
          <w:color w:val="auto"/>
          <w:sz w:val="24"/>
          <w:szCs w:val="24"/>
        </w:rPr>
        <w:t>名企精英实训课程</w:t>
      </w:r>
      <w:r>
        <w:rPr>
          <w:rFonts w:hint="eastAsia" w:asciiTheme="majorEastAsia" w:hAnsiTheme="majorEastAsia" w:eastAsiaTheme="majorEastAsia"/>
          <w:b w:val="0"/>
          <w:bCs w:val="0"/>
          <w:color w:val="auto"/>
          <w:sz w:val="24"/>
          <w:szCs w:val="24"/>
        </w:rPr>
        <w:t>包括</w:t>
      </w:r>
      <w:r>
        <w:rPr>
          <w:rFonts w:hint="eastAsia" w:asciiTheme="majorEastAsia" w:hAnsiTheme="majorEastAsia" w:eastAsiaTheme="majorEastAsia"/>
          <w:sz w:val="24"/>
          <w:szCs w:val="24"/>
        </w:rPr>
        <w:t>：全球金融市场概述、国内外经济形式、企业管理解析、香港经济态势分析、香港上市金融公司介绍、个人职业规划、个人能力分析与名企简历指导、小组产品发布会、现金投资游戏比赛等。</w:t>
      </w:r>
    </w:p>
    <w:p>
      <w:pPr>
        <w:keepNext w:val="0"/>
        <w:keepLines w:val="0"/>
        <w:widowControl/>
        <w:suppressLineNumbers w:val="0"/>
        <w:jc w:val="center"/>
        <w:rPr>
          <w:rFonts w:hint="eastAsia" w:asciiTheme="majorEastAsia" w:hAnsiTheme="majorEastAsia" w:eastAsiaTheme="majorEastAsia"/>
          <w:b/>
          <w:sz w:val="24"/>
          <w:szCs w:val="24"/>
          <w:lang w:eastAsia="zh-CN"/>
        </w:rPr>
      </w:pPr>
      <w:r>
        <w:rPr>
          <w:rFonts w:ascii="宋体" w:hAnsi="宋体" w:eastAsia="宋体" w:cs="宋体"/>
          <w:kern w:val="0"/>
          <w:sz w:val="24"/>
          <w:szCs w:val="24"/>
          <w:lang w:val="en-US" w:eastAsia="zh-CN" w:bidi="ar"/>
        </w:rPr>
        <w:drawing>
          <wp:inline distT="0" distB="0" distL="114300" distR="114300">
            <wp:extent cx="2098675" cy="1122680"/>
            <wp:effectExtent l="0" t="0" r="15875" b="127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8"/>
                    <a:stretch>
                      <a:fillRect/>
                    </a:stretch>
                  </pic:blipFill>
                  <pic:spPr>
                    <a:xfrm>
                      <a:off x="0" y="0"/>
                      <a:ext cx="2098675" cy="112268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786255" cy="1146175"/>
            <wp:effectExtent l="0" t="0" r="4445" b="1587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9"/>
                    <a:stretch>
                      <a:fillRect/>
                    </a:stretch>
                  </pic:blipFill>
                  <pic:spPr>
                    <a:xfrm>
                      <a:off x="0" y="0"/>
                      <a:ext cx="1786255" cy="114617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二、授课方介绍</w:t>
      </w:r>
    </w:p>
    <w:p>
      <w:pPr>
        <w:numPr>
          <w:ilvl w:val="0"/>
          <w:numId w:val="0"/>
        </w:numPr>
        <w:spacing w:line="400" w:lineRule="exact"/>
        <w:ind w:firstLine="482"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b/>
          <w:bCs/>
          <w:sz w:val="24"/>
          <w:szCs w:val="24"/>
        </w:rPr>
        <w:t>香港科技大学</w:t>
      </w:r>
      <w:r>
        <w:rPr>
          <w:rFonts w:hint="eastAsia" w:asciiTheme="majorEastAsia" w:hAnsiTheme="majorEastAsia" w:eastAsiaTheme="majorEastAsia"/>
          <w:sz w:val="24"/>
          <w:szCs w:val="24"/>
        </w:rPr>
        <w:t>（The Hong Kong University of Science and Technology），简称港科大（HKUST），为东亚研究型大学协会、环太平洋大学联盟、亚洲大学联盟、中国大学校长联谊会、京港大学联盟重要成员，是一所亚洲顶尖、国际知名的研究型大学。该校以科技和商业管理为主、人文及社会科学并重，</w:t>
      </w:r>
      <w:r>
        <w:rPr>
          <w:rFonts w:hint="eastAsia" w:asciiTheme="majorEastAsia" w:hAnsiTheme="majorEastAsia" w:eastAsiaTheme="majorEastAsia"/>
          <w:b/>
          <w:bCs/>
          <w:sz w:val="24"/>
          <w:szCs w:val="24"/>
        </w:rPr>
        <w:t>尤以商科和工科见长</w:t>
      </w:r>
      <w:r>
        <w:rPr>
          <w:rFonts w:hint="eastAsia" w:asciiTheme="majorEastAsia" w:hAnsiTheme="majorEastAsia" w:eastAsiaTheme="majorEastAsia"/>
          <w:sz w:val="24"/>
          <w:szCs w:val="24"/>
        </w:rPr>
        <w:t>。</w:t>
      </w:r>
    </w:p>
    <w:p>
      <w:pPr>
        <w:numPr>
          <w:ilvl w:val="0"/>
          <w:numId w:val="0"/>
        </w:numPr>
        <w:spacing w:line="400" w:lineRule="exact"/>
        <w:ind w:firstLine="482" w:firstLineChars="200"/>
        <w:jc w:val="left"/>
        <w:rPr>
          <w:rFonts w:hint="eastAsia" w:asciiTheme="majorEastAsia" w:hAnsiTheme="majorEastAsia" w:eastAsiaTheme="majorEastAsia"/>
          <w:b/>
          <w:bCs/>
          <w:color w:val="FF0000"/>
          <w:sz w:val="24"/>
          <w:szCs w:val="24"/>
        </w:rPr>
      </w:pPr>
      <w:r>
        <w:rPr>
          <w:rFonts w:hint="eastAsia" w:asciiTheme="majorEastAsia" w:hAnsiTheme="majorEastAsia" w:eastAsiaTheme="majorEastAsia"/>
          <w:b/>
          <w:bCs/>
          <w:color w:val="FF0000"/>
          <w:sz w:val="24"/>
          <w:szCs w:val="24"/>
        </w:rPr>
        <w:t>QS2019世界大学排名第37。</w:t>
      </w:r>
    </w:p>
    <w:p>
      <w:pPr>
        <w:numPr>
          <w:ilvl w:val="0"/>
          <w:numId w:val="0"/>
        </w:numPr>
        <w:spacing w:line="240" w:lineRule="auto"/>
        <w:ind w:firstLine="480" w:firstLineChars="200"/>
        <w:jc w:val="center"/>
        <w:rPr>
          <w:rFonts w:hint="eastAsia"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drawing>
          <wp:inline distT="0" distB="0" distL="114300" distR="114300">
            <wp:extent cx="2846705" cy="1901190"/>
            <wp:effectExtent l="0" t="0" r="10795" b="3810"/>
            <wp:docPr id="2" name="图片 2" descr="49941326726212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9413267262129407"/>
                    <pic:cNvPicPr>
                      <a:picLocks noChangeAspect="1"/>
                    </pic:cNvPicPr>
                  </pic:nvPicPr>
                  <pic:blipFill>
                    <a:blip r:embed="rId10"/>
                    <a:stretch>
                      <a:fillRect/>
                    </a:stretch>
                  </pic:blipFill>
                  <pic:spPr>
                    <a:xfrm>
                      <a:off x="0" y="0"/>
                      <a:ext cx="2846705" cy="19011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三、名企介绍（部分）</w:t>
      </w:r>
    </w:p>
    <w:p>
      <w:pPr>
        <w:numPr>
          <w:ilvl w:val="0"/>
          <w:numId w:val="0"/>
        </w:numPr>
        <w:spacing w:line="400" w:lineRule="exact"/>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香港富通保险（FTLife），成立于1985年，前身为欧洲富通集团旗下香港全资子公司。2018年12月，由新世界发展集团以215亿港元收购，成为旗下全资附属公司。作为香港最大的金融和保险公司之一，凭借其稳健、卓越的风险管理，获得包括惠誉国际A- 评级、A.M.Best A-(优良)评级及穆迪投资Baa1评级等多家国际信贷财务评级机构的高度评价。</w:t>
      </w:r>
    </w:p>
    <w:p>
      <w:pPr>
        <w:numPr>
          <w:ilvl w:val="0"/>
          <w:numId w:val="0"/>
        </w:numPr>
        <w:spacing w:line="400" w:lineRule="exact"/>
        <w:ind w:firstLine="480" w:firstLineChars="200"/>
        <w:jc w:val="left"/>
        <w:rPr>
          <w:rFonts w:hint="eastAsia" w:asciiTheme="majorEastAsia" w:hAnsiTheme="majorEastAsia" w:eastAsiaTheme="majorEastAsia"/>
          <w:b/>
          <w:sz w:val="24"/>
          <w:szCs w:val="24"/>
          <w:lang w:eastAsia="zh-CN"/>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加拿大宏利金融集团（Manulife Financial Group），加拿大主要的财经服务企业，业务遍布全球19个国际和地区，并获得“国际标准普尔”授予“AAA”评级。2018年7月19日，《财富》世界500强排行榜发布，宏利金融位列第241位。</w:t>
      </w:r>
    </w:p>
    <w:p>
      <w:pPr>
        <w:numPr>
          <w:ilvl w:val="0"/>
          <w:numId w:val="0"/>
        </w:numPr>
        <w:spacing w:line="360" w:lineRule="auto"/>
        <w:ind w:left="480" w:leftChars="0"/>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四、申请条件</w:t>
      </w:r>
    </w:p>
    <w:p>
      <w:pPr>
        <w:numPr>
          <w:ilvl w:val="0"/>
          <w:numId w:val="0"/>
        </w:numPr>
        <w:spacing w:line="360" w:lineRule="auto"/>
        <w:ind w:left="480" w:leftChars="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我校全日制就读本科生、研究生，应届毕业生亦可申请参加。</w:t>
      </w:r>
    </w:p>
    <w:p>
      <w:pPr>
        <w:numPr>
          <w:ilvl w:val="0"/>
          <w:numId w:val="0"/>
        </w:numPr>
        <w:spacing w:line="360" w:lineRule="auto"/>
        <w:ind w:left="480" w:leftChars="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学习成绩优良、在校表现良好，经学校审核同意。</w:t>
      </w:r>
    </w:p>
    <w:p>
      <w:pPr>
        <w:numPr>
          <w:ilvl w:val="0"/>
          <w:numId w:val="0"/>
        </w:numPr>
        <w:spacing w:line="360" w:lineRule="auto"/>
        <w:ind w:left="480" w:leftChars="0"/>
        <w:rPr>
          <w:rFonts w:hint="eastAsia" w:asciiTheme="majorEastAsia" w:hAnsiTheme="majorEastAsia" w:eastAsiaTheme="majorEastAsia"/>
          <w:b/>
          <w:sz w:val="24"/>
          <w:szCs w:val="24"/>
          <w:lang w:eastAsia="zh-CN"/>
        </w:rPr>
      </w:pPr>
      <w:r>
        <w:rPr>
          <w:rFonts w:hint="eastAsia" w:asciiTheme="majorEastAsia" w:hAnsiTheme="majorEastAsia" w:eastAsiaTheme="majorEastAsia"/>
          <w:sz w:val="24"/>
          <w:szCs w:val="24"/>
        </w:rPr>
        <w:t>3</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具备良好的英语沟通能力。</w:t>
      </w:r>
    </w:p>
    <w:p>
      <w:pPr>
        <w:numPr>
          <w:ilvl w:val="0"/>
          <w:numId w:val="0"/>
        </w:numPr>
        <w:spacing w:line="360" w:lineRule="auto"/>
        <w:ind w:left="480" w:leftChars="0"/>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五、项目收获</w:t>
      </w:r>
    </w:p>
    <w:p>
      <w:pPr>
        <w:spacing w:line="400" w:lineRule="exact"/>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香港科技大学课程证书</w:t>
      </w:r>
    </w:p>
    <w:p>
      <w:pPr>
        <w:spacing w:line="400" w:lineRule="exact"/>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名企实习证明</w:t>
      </w:r>
    </w:p>
    <w:p>
      <w:pPr>
        <w:spacing w:line="400" w:lineRule="exact"/>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名企高管推荐信</w:t>
      </w:r>
    </w:p>
    <w:p>
      <w:pPr>
        <w:spacing w:line="400" w:lineRule="exact"/>
        <w:ind w:firstLine="480" w:firstLineChars="200"/>
        <w:jc w:val="left"/>
        <w:rPr>
          <w:rFonts w:hint="eastAsia" w:asciiTheme="majorEastAsia" w:hAnsiTheme="majorEastAsia" w:eastAsiaTheme="majorEastAsia"/>
          <w:b/>
          <w:sz w:val="24"/>
          <w:szCs w:val="24"/>
          <w:lang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优胜小组可获名企专业实习机会</w:t>
      </w:r>
    </w:p>
    <w:p>
      <w:pPr>
        <w:spacing w:line="400" w:lineRule="exact"/>
        <w:ind w:firstLine="482" w:firstLineChars="200"/>
        <w:jc w:val="left"/>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w:t>
      </w:r>
      <w:r>
        <w:rPr>
          <w:rFonts w:hint="eastAsia" w:asciiTheme="majorEastAsia" w:hAnsiTheme="majorEastAsia" w:eastAsiaTheme="majorEastAsia"/>
          <w:b/>
          <w:sz w:val="24"/>
          <w:szCs w:val="24"/>
        </w:rPr>
        <w:t>、项目咨询</w:t>
      </w:r>
      <w:r>
        <w:rPr>
          <w:rFonts w:hint="eastAsia" w:asciiTheme="majorEastAsia" w:hAnsiTheme="majorEastAsia" w:eastAsiaTheme="majorEastAsia"/>
          <w:b/>
          <w:sz w:val="24"/>
          <w:szCs w:val="24"/>
          <w:lang w:eastAsia="zh-CN"/>
        </w:rPr>
        <w:t>与报名</w:t>
      </w:r>
    </w:p>
    <w:p>
      <w:pPr>
        <w:spacing w:line="400" w:lineRule="exact"/>
        <w:ind w:firstLine="480" w:firstLineChars="200"/>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lang w:eastAsia="zh-CN"/>
        </w:rPr>
        <w:t>国际交流处：</w:t>
      </w:r>
      <w:bookmarkStart w:id="0" w:name="_GoBack"/>
      <w:bookmarkEnd w:id="0"/>
      <w:r>
        <w:rPr>
          <w:rFonts w:hint="eastAsia" w:asciiTheme="majorEastAsia" w:hAnsiTheme="majorEastAsia" w:eastAsiaTheme="majorEastAsia"/>
          <w:sz w:val="24"/>
          <w:szCs w:val="24"/>
          <w:lang w:eastAsia="zh-CN"/>
        </w:rPr>
        <w:t>行政楼3楼外事办 吕老师</w:t>
      </w:r>
    </w:p>
    <w:p>
      <w:pPr>
        <w:spacing w:line="400" w:lineRule="exact"/>
        <w:ind w:firstLine="480" w:firstLineChars="200"/>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项目执行方：易老师 18161967121（微信同号）</w:t>
      </w:r>
    </w:p>
    <w:p>
      <w:pPr>
        <w:pStyle w:val="4"/>
        <w:shd w:val="clear" w:color="auto" w:fill="FFFFFF"/>
        <w:spacing w:before="0" w:beforeAutospacing="0" w:after="0" w:afterAutospacing="0" w:line="240" w:lineRule="auto"/>
        <w:jc w:val="center"/>
        <w:rPr>
          <w:rFonts w:hint="eastAsia" w:eastAsia="宋体" w:cs="宋体" w:asciiTheme="minorEastAsia" w:hAnsiTheme="minorEastAsia"/>
          <w:b/>
          <w:bCs/>
          <w:color w:val="505050"/>
          <w:kern w:val="0"/>
          <w:sz w:val="24"/>
          <w:szCs w:val="24"/>
          <w:lang w:eastAsia="zh-CN"/>
        </w:rPr>
      </w:pPr>
      <w:r>
        <w:rPr>
          <w:rFonts w:hint="eastAsia" w:eastAsia="宋体" w:cs="宋体" w:asciiTheme="minorEastAsia" w:hAnsiTheme="minorEastAsia"/>
          <w:b/>
          <w:bCs/>
          <w:color w:val="505050"/>
          <w:kern w:val="0"/>
          <w:sz w:val="24"/>
          <w:szCs w:val="24"/>
          <w:lang w:eastAsia="zh-CN"/>
        </w:rPr>
        <w:drawing>
          <wp:inline distT="0" distB="0" distL="114300" distR="114300">
            <wp:extent cx="1822450" cy="1822450"/>
            <wp:effectExtent l="0" t="0" r="6350" b="6350"/>
            <wp:docPr id="1" name="图片 1" descr="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E"/>
                    <pic:cNvPicPr>
                      <a:picLocks noChangeAspect="1"/>
                    </pic:cNvPicPr>
                  </pic:nvPicPr>
                  <pic:blipFill>
                    <a:blip r:embed="rId11"/>
                    <a:stretch>
                      <a:fillRect/>
                    </a:stretch>
                  </pic:blipFill>
                  <pic:spPr>
                    <a:xfrm>
                      <a:off x="0" y="0"/>
                      <a:ext cx="1822450" cy="1822450"/>
                    </a:xfrm>
                    <a:prstGeom prst="rect">
                      <a:avLst/>
                    </a:prstGeom>
                  </pic:spPr>
                </pic:pic>
              </a:graphicData>
            </a:graphic>
          </wp:inline>
        </w:drawing>
      </w:r>
    </w:p>
    <w:p>
      <w:pPr>
        <w:numPr>
          <w:ilvl w:val="0"/>
          <w:numId w:val="0"/>
        </w:numPr>
        <w:spacing w:line="400" w:lineRule="exact"/>
        <w:jc w:val="center"/>
        <w:rPr>
          <w:rStyle w:val="7"/>
          <w:rFonts w:hint="eastAsia" w:cs="Helvetica" w:asciiTheme="minorEastAsia" w:hAnsiTheme="minorEastAsia" w:eastAsiaTheme="minorEastAsia"/>
          <w:color w:val="3E3E3E"/>
          <w:sz w:val="24"/>
          <w:szCs w:val="24"/>
          <w:shd w:val="clear" w:color="auto" w:fill="FFFFFF"/>
          <w:lang w:eastAsia="zh-CN"/>
        </w:rPr>
      </w:pPr>
      <w:r>
        <w:rPr>
          <w:rStyle w:val="7"/>
          <w:rFonts w:hint="eastAsia" w:cs="Helvetica" w:asciiTheme="minorEastAsia" w:hAnsiTheme="minorEastAsia"/>
          <w:color w:val="3E3E3E"/>
          <w:sz w:val="24"/>
          <w:szCs w:val="24"/>
          <w:shd w:val="clear" w:color="auto" w:fill="FFFFFF"/>
          <w:lang w:eastAsia="zh-CN"/>
        </w:rPr>
        <w:t>扫描二维码，领取项目资料</w:t>
      </w:r>
    </w:p>
    <w:p>
      <w:pPr>
        <w:numPr>
          <w:ilvl w:val="0"/>
          <w:numId w:val="0"/>
        </w:numPr>
        <w:spacing w:line="400" w:lineRule="exact"/>
        <w:jc w:val="left"/>
        <w:rPr>
          <w:rStyle w:val="7"/>
          <w:rFonts w:hint="eastAsia" w:cs="Helvetica" w:asciiTheme="minorEastAsia" w:hAnsiTheme="minorEastAsia"/>
          <w:color w:val="3E3E3E"/>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7"/>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173FB"/>
    <w:rsid w:val="0C9062B2"/>
    <w:rsid w:val="238415D6"/>
    <w:rsid w:val="308173FB"/>
    <w:rsid w:val="6D6C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2019-05-16T08:03:00Z</dcterms:created>
  <dc:creator>Administrator</dc:creator>
  <cp:lastModifiedBy>Sara</cp:lastModifiedBy>
  <dcterms:modified xsi:type="dcterms:W3CDTF">2019-05-17T01:50:40Z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